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6D0B7" w14:textId="19642B40" w:rsidR="00620162" w:rsidRPr="00232756" w:rsidRDefault="00F6747F" w:rsidP="00620162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Ciudad de México, </w:t>
      </w:r>
      <w:r w:rsidR="00831E81">
        <w:rPr>
          <w:rFonts w:ascii="Calibri" w:hAnsi="Calibri" w:cs="Calibri"/>
          <w:sz w:val="24"/>
          <w:szCs w:val="24"/>
        </w:rPr>
        <w:t>1</w:t>
      </w:r>
      <w:r w:rsidR="00253BDA">
        <w:rPr>
          <w:rFonts w:ascii="Calibri" w:hAnsi="Calibri" w:cs="Calibri"/>
          <w:sz w:val="24"/>
          <w:szCs w:val="24"/>
        </w:rPr>
        <w:t>2</w:t>
      </w:r>
      <w:r w:rsidR="00831E81">
        <w:rPr>
          <w:rFonts w:ascii="Calibri" w:hAnsi="Calibri" w:cs="Calibri"/>
          <w:sz w:val="24"/>
          <w:szCs w:val="24"/>
        </w:rPr>
        <w:t xml:space="preserve"> de enero</w:t>
      </w:r>
      <w:r w:rsidR="00944195">
        <w:rPr>
          <w:rFonts w:ascii="Calibri" w:hAnsi="Calibri" w:cs="Calibri"/>
          <w:sz w:val="24"/>
          <w:szCs w:val="24"/>
        </w:rPr>
        <w:t xml:space="preserve"> </w:t>
      </w:r>
      <w:r w:rsidR="00620162" w:rsidRPr="00232756">
        <w:rPr>
          <w:rFonts w:ascii="Calibri" w:hAnsi="Calibri" w:cs="Calibri"/>
          <w:sz w:val="24"/>
          <w:szCs w:val="24"/>
        </w:rPr>
        <w:t>de 202</w:t>
      </w:r>
      <w:r w:rsidR="00831E81">
        <w:rPr>
          <w:rFonts w:ascii="Calibri" w:hAnsi="Calibri" w:cs="Calibri"/>
          <w:sz w:val="24"/>
          <w:szCs w:val="24"/>
        </w:rPr>
        <w:t>2</w:t>
      </w:r>
    </w:p>
    <w:p w14:paraId="6D999F1B" w14:textId="60B56A46" w:rsidR="00D232E9" w:rsidRPr="00D232E9" w:rsidRDefault="003F3956" w:rsidP="00944195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r>
        <w:rPr>
          <w:rFonts w:ascii="Calibri" w:hAnsi="Calibri" w:cs="Calibri"/>
          <w:b/>
          <w:sz w:val="28"/>
          <w:szCs w:val="28"/>
        </w:rPr>
        <w:t>OTORGA SEDESA</w:t>
      </w:r>
      <w:r w:rsidR="00944195">
        <w:rPr>
          <w:rFonts w:ascii="Calibri" w:hAnsi="Calibri" w:cs="Calibri"/>
          <w:b/>
          <w:sz w:val="28"/>
          <w:szCs w:val="28"/>
        </w:rPr>
        <w:t xml:space="preserve"> 129 MIL 967 CONSULTAS EN MODULOS D</w:t>
      </w:r>
      <w:r>
        <w:rPr>
          <w:rFonts w:ascii="Calibri" w:hAnsi="Calibri" w:cs="Calibri"/>
          <w:b/>
          <w:sz w:val="28"/>
          <w:szCs w:val="28"/>
        </w:rPr>
        <w:t>E SALUD MENTAL</w:t>
      </w:r>
      <w:r w:rsidR="002F628E">
        <w:rPr>
          <w:rFonts w:ascii="Calibri" w:hAnsi="Calibri" w:cs="Calibri"/>
          <w:b/>
          <w:sz w:val="28"/>
          <w:szCs w:val="28"/>
        </w:rPr>
        <w:t xml:space="preserve"> DURANTE </w:t>
      </w:r>
      <w:r w:rsidR="00944195">
        <w:rPr>
          <w:rFonts w:ascii="Calibri" w:hAnsi="Calibri" w:cs="Calibri"/>
          <w:b/>
          <w:sz w:val="28"/>
          <w:szCs w:val="28"/>
        </w:rPr>
        <w:t>PANDEMIA POR COVID-19</w:t>
      </w:r>
    </w:p>
    <w:bookmarkEnd w:id="0"/>
    <w:p w14:paraId="446933A5" w14:textId="324BE73D" w:rsidR="00944195" w:rsidRDefault="00944195" w:rsidP="00944195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alibri" w:hAnsi="Calibri" w:cstheme="minorHAnsi"/>
          <w:sz w:val="20"/>
          <w:szCs w:val="20"/>
        </w:rPr>
      </w:pPr>
      <w:r w:rsidRPr="00F6747F">
        <w:rPr>
          <w:rFonts w:ascii="Calibri" w:hAnsi="Calibri" w:cstheme="minorHAnsi"/>
          <w:sz w:val="20"/>
          <w:szCs w:val="20"/>
        </w:rPr>
        <w:t>Los Servicios de Salud Pública de la Ciudad de México (SSPCDMX) cuentan con Módulos de Salud Mental en 80 Centros de Salud de primer nivel y 32 Centros de Atención Primaria a las Adicciones (CAPA) para atención médica psiquiátrica y psicológica</w:t>
      </w:r>
    </w:p>
    <w:p w14:paraId="4E48B72B" w14:textId="340184E1" w:rsidR="004371A8" w:rsidRPr="004371A8" w:rsidRDefault="004371A8" w:rsidP="004371A8">
      <w:pPr>
        <w:pStyle w:val="Prrafodelista"/>
        <w:numPr>
          <w:ilvl w:val="0"/>
          <w:numId w:val="3"/>
        </w:numPr>
        <w:jc w:val="both"/>
        <w:rPr>
          <w:rFonts w:ascii="Calibri" w:hAnsi="Calibri" w:cstheme="minorHAnsi"/>
          <w:color w:val="000000" w:themeColor="text1"/>
          <w:sz w:val="20"/>
          <w:szCs w:val="20"/>
        </w:rPr>
      </w:pPr>
      <w:r w:rsidRPr="004371A8">
        <w:rPr>
          <w:rFonts w:ascii="Calibri" w:hAnsi="Calibri" w:cstheme="minorHAnsi"/>
          <w:color w:val="000000" w:themeColor="text1"/>
          <w:sz w:val="20"/>
          <w:szCs w:val="20"/>
        </w:rPr>
        <w:t>durante el año 2021 se han capacitado a 2 mil 994 trabajadores de los Centros de Salud de las 16 Jurisdicciones Sanitarias, de 3 mil 221 programados, lo que representa el 92.95 por ciento)</w:t>
      </w:r>
    </w:p>
    <w:p w14:paraId="1A171AAA" w14:textId="5ABAE93E" w:rsidR="00F27020" w:rsidRDefault="001629F7" w:rsidP="001629F7">
      <w:pPr>
        <w:spacing w:line="276" w:lineRule="auto"/>
        <w:jc w:val="both"/>
        <w:rPr>
          <w:rFonts w:ascii="Calibri" w:hAnsi="Calibri" w:cstheme="minorHAnsi"/>
          <w:sz w:val="24"/>
          <w:szCs w:val="24"/>
        </w:rPr>
      </w:pPr>
      <w:r w:rsidRPr="001629F7">
        <w:rPr>
          <w:rFonts w:ascii="Calibri" w:hAnsi="Calibri" w:cstheme="minorHAnsi"/>
          <w:sz w:val="24"/>
          <w:szCs w:val="24"/>
        </w:rPr>
        <w:t>La Secretaría de Salud (SEDESA) informa que</w:t>
      </w:r>
      <w:r w:rsidR="00F6747F">
        <w:rPr>
          <w:rFonts w:ascii="Calibri" w:hAnsi="Calibri" w:cstheme="minorHAnsi"/>
          <w:sz w:val="24"/>
          <w:szCs w:val="24"/>
        </w:rPr>
        <w:t>,</w:t>
      </w:r>
      <w:r w:rsidRPr="001629F7">
        <w:rPr>
          <w:rFonts w:ascii="Calibri" w:hAnsi="Calibri" w:cstheme="minorHAnsi"/>
          <w:sz w:val="24"/>
          <w:szCs w:val="24"/>
        </w:rPr>
        <w:t xml:space="preserve"> los Módulos de Salud Mental </w:t>
      </w:r>
      <w:r w:rsidR="00033442">
        <w:rPr>
          <w:rFonts w:ascii="Calibri" w:hAnsi="Calibri" w:cstheme="minorHAnsi"/>
          <w:sz w:val="24"/>
          <w:szCs w:val="24"/>
        </w:rPr>
        <w:t>mantuvieron su atención durante la pandemia por COVID-19</w:t>
      </w:r>
      <w:r w:rsidRPr="001629F7">
        <w:rPr>
          <w:rFonts w:ascii="Calibri" w:hAnsi="Calibri" w:cstheme="minorHAnsi"/>
          <w:sz w:val="24"/>
          <w:szCs w:val="24"/>
        </w:rPr>
        <w:t>, por lo que desde enero de 2020 a septiembre de 2021 se han otorgado 129 mil 967 consultas</w:t>
      </w:r>
      <w:r w:rsidR="00033442">
        <w:rPr>
          <w:rFonts w:ascii="Calibri" w:hAnsi="Calibri" w:cstheme="minorHAnsi"/>
          <w:sz w:val="24"/>
          <w:szCs w:val="24"/>
        </w:rPr>
        <w:t>, de las cuales</w:t>
      </w:r>
      <w:r w:rsidRPr="001629F7">
        <w:rPr>
          <w:rFonts w:ascii="Calibri" w:hAnsi="Calibri" w:cstheme="minorHAnsi"/>
          <w:sz w:val="24"/>
          <w:szCs w:val="24"/>
        </w:rPr>
        <w:t xml:space="preserve"> 109 mil 666 (84.38 por ciento) fueron impartidas por el área de psicología clínica</w:t>
      </w:r>
      <w:r w:rsidR="00F27020">
        <w:rPr>
          <w:rFonts w:ascii="Calibri" w:hAnsi="Calibri" w:cstheme="minorHAnsi"/>
          <w:sz w:val="24"/>
          <w:szCs w:val="24"/>
        </w:rPr>
        <w:t>,</w:t>
      </w:r>
      <w:r w:rsidRPr="001629F7">
        <w:rPr>
          <w:rFonts w:ascii="Calibri" w:hAnsi="Calibri" w:cstheme="minorHAnsi"/>
          <w:sz w:val="24"/>
          <w:szCs w:val="24"/>
        </w:rPr>
        <w:t xml:space="preserve"> y 20 mil 300 (15.62 por ciento) por el área de psiquiatría</w:t>
      </w:r>
    </w:p>
    <w:p w14:paraId="280ACB85" w14:textId="5106BB22" w:rsidR="001629F7" w:rsidRPr="001629F7" w:rsidRDefault="00253BDA" w:rsidP="001629F7">
      <w:pPr>
        <w:spacing w:line="276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E</w:t>
      </w:r>
      <w:r w:rsidR="00F27020">
        <w:rPr>
          <w:rFonts w:ascii="Calibri" w:hAnsi="Calibri" w:cstheme="minorHAnsi"/>
          <w:sz w:val="24"/>
          <w:szCs w:val="24"/>
        </w:rPr>
        <w:t xml:space="preserve">n el marco del Día Mundial de la Lucha contra la Depresión, que se conmemora el 13 de enero, </w:t>
      </w:r>
      <w:r>
        <w:rPr>
          <w:rFonts w:ascii="Calibri" w:hAnsi="Calibri" w:cstheme="minorHAnsi"/>
          <w:sz w:val="24"/>
          <w:szCs w:val="24"/>
        </w:rPr>
        <w:t xml:space="preserve">cabe destacar </w:t>
      </w:r>
      <w:r w:rsidR="00F27020">
        <w:rPr>
          <w:rFonts w:ascii="Calibri" w:hAnsi="Calibri" w:cstheme="minorHAnsi"/>
          <w:sz w:val="24"/>
          <w:szCs w:val="24"/>
        </w:rPr>
        <w:t xml:space="preserve">que </w:t>
      </w:r>
      <w:r w:rsidR="00A55944">
        <w:rPr>
          <w:rFonts w:ascii="Calibri" w:hAnsi="Calibri" w:cstheme="minorHAnsi"/>
          <w:sz w:val="24"/>
          <w:szCs w:val="24"/>
        </w:rPr>
        <w:t xml:space="preserve">la depresión </w:t>
      </w:r>
      <w:r w:rsidR="00F27020">
        <w:rPr>
          <w:rFonts w:ascii="Calibri" w:hAnsi="Calibri" w:cstheme="minorHAnsi"/>
          <w:sz w:val="24"/>
          <w:szCs w:val="24"/>
        </w:rPr>
        <w:t xml:space="preserve">fue precisamente la </w:t>
      </w:r>
      <w:r w:rsidR="00A55944">
        <w:rPr>
          <w:rFonts w:ascii="Calibri" w:hAnsi="Calibri" w:cstheme="minorHAnsi"/>
          <w:sz w:val="24"/>
          <w:szCs w:val="24"/>
        </w:rPr>
        <w:t>principal enfermedad diagnosticada en la Ciudad de México</w:t>
      </w:r>
      <w:r w:rsidR="00F27020">
        <w:rPr>
          <w:rFonts w:ascii="Calibri" w:hAnsi="Calibri" w:cstheme="minorHAnsi"/>
          <w:sz w:val="24"/>
          <w:szCs w:val="24"/>
        </w:rPr>
        <w:t xml:space="preserve"> en esos meses, a la cual le siguió la ansiedad generalizada y el </w:t>
      </w:r>
      <w:r w:rsidR="00F6747F">
        <w:rPr>
          <w:rFonts w:ascii="Calibri" w:hAnsi="Calibri" w:cstheme="minorHAnsi"/>
          <w:sz w:val="24"/>
          <w:szCs w:val="24"/>
        </w:rPr>
        <w:t>trastorno</w:t>
      </w:r>
      <w:r w:rsidR="00F27020">
        <w:rPr>
          <w:rFonts w:ascii="Calibri" w:hAnsi="Calibri" w:cstheme="minorHAnsi"/>
          <w:sz w:val="24"/>
          <w:szCs w:val="24"/>
        </w:rPr>
        <w:t xml:space="preserve"> mixto ansioso-depresivo</w:t>
      </w:r>
      <w:r w:rsidR="001629F7" w:rsidRPr="001629F7">
        <w:rPr>
          <w:rFonts w:ascii="Calibri" w:hAnsi="Calibri" w:cstheme="minorHAnsi"/>
          <w:sz w:val="24"/>
          <w:szCs w:val="24"/>
        </w:rPr>
        <w:t>.</w:t>
      </w:r>
    </w:p>
    <w:p w14:paraId="6E308267" w14:textId="6FEFB537" w:rsidR="001629F7" w:rsidRPr="001629F7" w:rsidRDefault="001629F7" w:rsidP="001629F7">
      <w:pPr>
        <w:spacing w:line="276" w:lineRule="auto"/>
        <w:jc w:val="both"/>
        <w:rPr>
          <w:rFonts w:ascii="Calibri" w:hAnsi="Calibri" w:cstheme="minorHAnsi"/>
          <w:sz w:val="24"/>
          <w:szCs w:val="24"/>
        </w:rPr>
      </w:pPr>
      <w:r w:rsidRPr="001629F7">
        <w:rPr>
          <w:rFonts w:ascii="Calibri" w:hAnsi="Calibri" w:cstheme="minorHAnsi"/>
          <w:sz w:val="24"/>
          <w:szCs w:val="24"/>
        </w:rPr>
        <w:t>Para ello, los Servicios de Salud Pública de la Ciudad de México (SSPCDMX) cuentan con Módulos de Salud Mental en 80 centros de salud de primer nivel y 32 Centros de Atención Primaria a las Adicciones (CAPA), las cuales brindan atención médica psiquiátrica y psicológica.</w:t>
      </w:r>
    </w:p>
    <w:p w14:paraId="7DB8794D" w14:textId="6FB0C61C" w:rsidR="001629F7" w:rsidRPr="001629F7" w:rsidRDefault="00F27020" w:rsidP="001629F7">
      <w:pPr>
        <w:spacing w:line="276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L</w:t>
      </w:r>
      <w:r w:rsidR="001629F7" w:rsidRPr="001629F7">
        <w:rPr>
          <w:rFonts w:ascii="Calibri" w:hAnsi="Calibri" w:cstheme="minorHAnsi"/>
          <w:sz w:val="24"/>
          <w:szCs w:val="24"/>
        </w:rPr>
        <w:t>os principales diagnósticos r</w:t>
      </w:r>
      <w:r w:rsidR="00A55944">
        <w:rPr>
          <w:rFonts w:ascii="Calibri" w:hAnsi="Calibri" w:cstheme="minorHAnsi"/>
          <w:sz w:val="24"/>
          <w:szCs w:val="24"/>
        </w:rPr>
        <w:t>eportados en este periodo</w:t>
      </w:r>
      <w:r>
        <w:rPr>
          <w:rFonts w:ascii="Calibri" w:hAnsi="Calibri" w:cstheme="minorHAnsi"/>
          <w:sz w:val="24"/>
          <w:szCs w:val="24"/>
        </w:rPr>
        <w:t xml:space="preserve"> fueron</w:t>
      </w:r>
      <w:r w:rsidR="002F628E">
        <w:rPr>
          <w:rFonts w:ascii="Calibri" w:hAnsi="Calibri" w:cstheme="minorHAnsi"/>
          <w:sz w:val="24"/>
          <w:szCs w:val="24"/>
        </w:rPr>
        <w:t xml:space="preserve"> los siguientes:</w:t>
      </w:r>
    </w:p>
    <w:tbl>
      <w:tblPr>
        <w:tblW w:w="75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169"/>
        <w:gridCol w:w="1133"/>
        <w:gridCol w:w="146"/>
        <w:gridCol w:w="809"/>
        <w:gridCol w:w="952"/>
      </w:tblGrid>
      <w:tr w:rsidR="00033442" w:rsidRPr="001629F7" w14:paraId="45402831" w14:textId="77777777" w:rsidTr="002F628E">
        <w:trPr>
          <w:trHeight w:val="422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8C4A" w14:textId="77777777" w:rsidR="00033442" w:rsidRPr="002F628E" w:rsidRDefault="00033442" w:rsidP="00E11F7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es-MX"/>
              </w:rPr>
            </w:pPr>
            <w:r w:rsidRPr="002F628E">
              <w:rPr>
                <w:rFonts w:cstheme="minorHAnsi"/>
                <w:b/>
                <w:bCs/>
                <w:sz w:val="24"/>
                <w:szCs w:val="24"/>
                <w:lang w:eastAsia="es-MX"/>
              </w:rPr>
              <w:t>Enero 2020 –Septiembre 2021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BC8A" w14:textId="77777777" w:rsidR="00033442" w:rsidRPr="002F628E" w:rsidRDefault="00033442" w:rsidP="00E11F7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es-MX"/>
              </w:rPr>
            </w:pPr>
            <w:r w:rsidRPr="002F628E">
              <w:rPr>
                <w:rFonts w:cstheme="minorHAnsi"/>
                <w:b/>
                <w:bCs/>
                <w:sz w:val="24"/>
                <w:szCs w:val="24"/>
                <w:lang w:eastAsia="es-MX"/>
              </w:rPr>
              <w:t xml:space="preserve">Masculino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86BF" w14:textId="77777777" w:rsidR="00033442" w:rsidRPr="002F628E" w:rsidRDefault="00033442" w:rsidP="00E11F7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es-MX"/>
              </w:rPr>
            </w:pPr>
            <w:r w:rsidRPr="002F628E">
              <w:rPr>
                <w:rFonts w:cstheme="minorHAnsi"/>
                <w:b/>
                <w:bCs/>
                <w:sz w:val="24"/>
                <w:szCs w:val="24"/>
                <w:lang w:eastAsia="es-MX"/>
              </w:rPr>
              <w:t xml:space="preserve">Femenino 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02907" w14:textId="77777777" w:rsidR="00033442" w:rsidRPr="002F628E" w:rsidRDefault="00033442" w:rsidP="00E11F72">
            <w:pPr>
              <w:jc w:val="center"/>
              <w:rPr>
                <w:rFonts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E47B" w14:textId="77777777" w:rsidR="00033442" w:rsidRPr="002F628E" w:rsidRDefault="00033442" w:rsidP="00E11F72">
            <w:pPr>
              <w:jc w:val="center"/>
              <w:rPr>
                <w:rFonts w:cstheme="minorHAnsi"/>
                <w:b/>
                <w:sz w:val="24"/>
                <w:szCs w:val="24"/>
                <w:lang w:eastAsia="es-MX"/>
              </w:rPr>
            </w:pPr>
            <w:r w:rsidRPr="002F628E">
              <w:rPr>
                <w:rFonts w:cstheme="minorHAnsi"/>
                <w:b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34F2" w14:textId="77777777" w:rsidR="00033442" w:rsidRPr="002F628E" w:rsidRDefault="00033442" w:rsidP="00E11F72">
            <w:pPr>
              <w:jc w:val="center"/>
              <w:rPr>
                <w:rFonts w:cstheme="minorHAnsi"/>
                <w:b/>
                <w:sz w:val="24"/>
                <w:szCs w:val="24"/>
                <w:lang w:eastAsia="es-MX"/>
              </w:rPr>
            </w:pPr>
            <w:r w:rsidRPr="002F628E">
              <w:rPr>
                <w:rFonts w:cstheme="minorHAnsi"/>
                <w:b/>
                <w:sz w:val="24"/>
                <w:szCs w:val="24"/>
                <w:lang w:eastAsia="es-MX"/>
              </w:rPr>
              <w:t>%</w:t>
            </w:r>
          </w:p>
        </w:tc>
      </w:tr>
      <w:tr w:rsidR="00033442" w:rsidRPr="00DB31AD" w14:paraId="37E987CD" w14:textId="77777777" w:rsidTr="002F628E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B871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Episodio depresivo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9C53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1,605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F88F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4,839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A1354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66C9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6,444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3517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22.82</w:t>
            </w:r>
          </w:p>
        </w:tc>
      </w:tr>
      <w:tr w:rsidR="00033442" w:rsidRPr="00DB31AD" w14:paraId="181BBDA0" w14:textId="77777777" w:rsidTr="002F628E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9226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Trastorno de ansiedad generalizada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8B00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1,244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1FF3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3,013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E6701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8E1F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4,257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FF5E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15.07</w:t>
            </w:r>
          </w:p>
        </w:tc>
      </w:tr>
      <w:tr w:rsidR="00033442" w:rsidRPr="00DB31AD" w14:paraId="11E60997" w14:textId="77777777" w:rsidTr="002F628E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6788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Trastorno mixto ansioso-depresivo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C663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897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0A6F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2,295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64A6F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4031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3,192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76A8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11.30</w:t>
            </w:r>
          </w:p>
        </w:tc>
      </w:tr>
      <w:tr w:rsidR="00033442" w:rsidRPr="00DB31AD" w14:paraId="31CDDE84" w14:textId="77777777" w:rsidTr="002F628E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9150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Reacción a estrés agudo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9163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370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1C90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770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E5DB4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C106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1,140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B59B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4.04</w:t>
            </w:r>
          </w:p>
        </w:tc>
      </w:tr>
      <w:tr w:rsidR="00033442" w:rsidRPr="00DB31AD" w14:paraId="355A9BDF" w14:textId="77777777" w:rsidTr="002F628E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3450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Retraso mental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AA0C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453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C5D9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301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B8C43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D2EA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754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2185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2.67</w:t>
            </w:r>
          </w:p>
        </w:tc>
      </w:tr>
      <w:tr w:rsidR="00033442" w:rsidRPr="00DB31AD" w14:paraId="274CBF91" w14:textId="77777777" w:rsidTr="002F628E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8876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Trastornos de la conducta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F786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256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8FC7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455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7D474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2FCC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711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6DCB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2.52</w:t>
            </w:r>
          </w:p>
        </w:tc>
      </w:tr>
      <w:tr w:rsidR="00033442" w:rsidRPr="00DB31AD" w14:paraId="5A93D0FD" w14:textId="77777777" w:rsidTr="002F628E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E7B4" w14:textId="77777777" w:rsidR="00033442" w:rsidRPr="001629F7" w:rsidRDefault="00033442" w:rsidP="00986BC8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lastRenderedPageBreak/>
              <w:t xml:space="preserve">Trastornos </w:t>
            </w:r>
            <w:proofErr w:type="spellStart"/>
            <w:r w:rsidRPr="001629F7">
              <w:rPr>
                <w:rFonts w:ascii="Calibri" w:hAnsi="Calibri"/>
                <w:sz w:val="24"/>
                <w:szCs w:val="24"/>
              </w:rPr>
              <w:t>hipercinéticos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CFEA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492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1666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195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DE4F4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139F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687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9055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2.43</w:t>
            </w:r>
          </w:p>
        </w:tc>
      </w:tr>
      <w:tr w:rsidR="00033442" w:rsidRPr="00DB31AD" w14:paraId="49B89DB6" w14:textId="77777777" w:rsidTr="002F628E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5804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Trastorno depresivo recurrente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970C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99DB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557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31D84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265F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686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E70C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2.43</w:t>
            </w:r>
          </w:p>
        </w:tc>
      </w:tr>
      <w:tr w:rsidR="00033442" w:rsidRPr="00DB31AD" w14:paraId="2993362D" w14:textId="77777777" w:rsidTr="002F628E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2D9A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Esquizofrenia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48A8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179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DCF4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156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B0019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819F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335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6FA1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1.19</w:t>
            </w:r>
          </w:p>
        </w:tc>
      </w:tr>
      <w:tr w:rsidR="00033442" w:rsidRPr="00DB31AD" w14:paraId="4AC3BF97" w14:textId="77777777" w:rsidTr="002F628E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2927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Trastorno de estrés postraumático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85FF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B257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141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CB654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A02F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212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376A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</w:rPr>
              <w:t>0.75</w:t>
            </w:r>
          </w:p>
        </w:tc>
      </w:tr>
      <w:tr w:rsidR="00033442" w:rsidRPr="00DB31AD" w14:paraId="125D153E" w14:textId="77777777" w:rsidTr="002F628E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D4C7" w14:textId="2DDF023D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>
              <w:rPr>
                <w:rFonts w:ascii="Calibri" w:hAnsi="Calibri"/>
                <w:sz w:val="24"/>
                <w:szCs w:val="24"/>
                <w:lang w:eastAsia="es-MX"/>
              </w:rPr>
              <w:t>S</w:t>
            </w:r>
            <w:r w:rsidRPr="001629F7">
              <w:rPr>
                <w:rFonts w:ascii="Calibri" w:hAnsi="Calibri"/>
                <w:sz w:val="24"/>
                <w:szCs w:val="24"/>
                <w:lang w:eastAsia="es-MX"/>
              </w:rPr>
              <w:t>ubtotal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6B9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  <w:lang w:eastAsia="es-MX"/>
              </w:rPr>
              <w:t>5,233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5819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  <w:lang w:eastAsia="es-MX"/>
              </w:rPr>
              <w:t>11,180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CA4B5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9CA8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  <w:lang w:eastAsia="es-MX"/>
              </w:rPr>
              <w:t>16,413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97E6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  <w:lang w:eastAsia="es-MX"/>
              </w:rPr>
              <w:t>58.12</w:t>
            </w:r>
          </w:p>
        </w:tc>
      </w:tr>
      <w:tr w:rsidR="00033442" w:rsidRPr="00DB31AD" w14:paraId="60C22B17" w14:textId="77777777" w:rsidTr="002F628E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B854" w14:textId="5F65A4AB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>
              <w:rPr>
                <w:rFonts w:ascii="Calibri" w:hAnsi="Calibri"/>
                <w:sz w:val="24"/>
                <w:szCs w:val="24"/>
                <w:lang w:eastAsia="es-MX"/>
              </w:rPr>
              <w:t>R</w:t>
            </w:r>
            <w:r w:rsidRPr="001629F7">
              <w:rPr>
                <w:rFonts w:ascii="Calibri" w:hAnsi="Calibri"/>
                <w:sz w:val="24"/>
                <w:szCs w:val="24"/>
                <w:lang w:eastAsia="es-MX"/>
              </w:rPr>
              <w:t>esto de causas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28F7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  <w:lang w:eastAsia="es-MX"/>
              </w:rPr>
              <w:t>4,770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3B22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  <w:lang w:eastAsia="es-MX"/>
              </w:rPr>
              <w:t>7,056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B7E62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4373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  <w:lang w:eastAsia="es-MX"/>
              </w:rPr>
              <w:t>11,826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886A" w14:textId="77777777" w:rsidR="00033442" w:rsidRPr="001629F7" w:rsidRDefault="00033442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  <w:lang w:eastAsia="es-MX"/>
              </w:rPr>
              <w:t>41.88</w:t>
            </w:r>
          </w:p>
        </w:tc>
      </w:tr>
      <w:tr w:rsidR="00253BDA" w:rsidRPr="00DB31AD" w14:paraId="715D8EA9" w14:textId="77777777" w:rsidTr="002F628E">
        <w:trPr>
          <w:trHeight w:val="30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F05E" w14:textId="596B0B09" w:rsidR="00253BDA" w:rsidRPr="001629F7" w:rsidRDefault="00253BDA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>
              <w:rPr>
                <w:rFonts w:ascii="Calibri" w:hAnsi="Calibri"/>
                <w:sz w:val="24"/>
                <w:szCs w:val="24"/>
                <w:lang w:eastAsia="es-MX"/>
              </w:rPr>
              <w:t>T</w:t>
            </w:r>
            <w:r w:rsidRPr="001629F7">
              <w:rPr>
                <w:rFonts w:ascii="Calibri" w:hAnsi="Calibri"/>
                <w:sz w:val="24"/>
                <w:szCs w:val="24"/>
                <w:lang w:eastAsia="es-MX"/>
              </w:rPr>
              <w:t>otal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05EA" w14:textId="77777777" w:rsidR="00253BDA" w:rsidRPr="001629F7" w:rsidRDefault="00253BDA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  <w:lang w:eastAsia="es-MX"/>
              </w:rPr>
              <w:t>10,003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8192" w14:textId="77777777" w:rsidR="00253BDA" w:rsidRPr="001629F7" w:rsidRDefault="00253BDA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  <w:lang w:eastAsia="es-MX"/>
              </w:rPr>
              <w:t>18,236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6ACA" w14:textId="77777777" w:rsidR="00253BDA" w:rsidRPr="001629F7" w:rsidRDefault="00253BDA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  <w:lang w:eastAsia="es-MX"/>
              </w:rPr>
              <w:t>28,239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825B" w14:textId="77777777" w:rsidR="00253BDA" w:rsidRPr="001629F7" w:rsidRDefault="00253BDA" w:rsidP="002F628E">
            <w:pPr>
              <w:jc w:val="center"/>
              <w:rPr>
                <w:rFonts w:ascii="Calibri" w:hAnsi="Calibri"/>
                <w:sz w:val="24"/>
                <w:szCs w:val="24"/>
                <w:lang w:eastAsia="es-MX"/>
              </w:rPr>
            </w:pPr>
            <w:r w:rsidRPr="001629F7">
              <w:rPr>
                <w:rFonts w:ascii="Calibri" w:hAnsi="Calibri"/>
                <w:sz w:val="24"/>
                <w:szCs w:val="24"/>
                <w:lang w:eastAsia="es-MX"/>
              </w:rPr>
              <w:t>100</w:t>
            </w:r>
          </w:p>
        </w:tc>
      </w:tr>
    </w:tbl>
    <w:p w14:paraId="4F8CD336" w14:textId="77777777" w:rsidR="001629F7" w:rsidRDefault="001629F7" w:rsidP="001629F7">
      <w:pPr>
        <w:spacing w:line="276" w:lineRule="auto"/>
        <w:jc w:val="both"/>
        <w:rPr>
          <w:rFonts w:ascii="Source Sans Pro" w:hAnsi="Source Sans Pro" w:cstheme="minorHAnsi"/>
        </w:rPr>
      </w:pPr>
    </w:p>
    <w:p w14:paraId="5240B32C" w14:textId="77777777" w:rsidR="00253BDA" w:rsidRDefault="005C2C95" w:rsidP="00033442">
      <w:pPr>
        <w:jc w:val="both"/>
        <w:rPr>
          <w:rFonts w:ascii="Calibri" w:hAnsi="Calibri" w:cstheme="minorHAnsi"/>
          <w:sz w:val="24"/>
          <w:szCs w:val="24"/>
        </w:rPr>
      </w:pPr>
      <w:r w:rsidRPr="001629F7">
        <w:rPr>
          <w:rFonts w:ascii="Calibri" w:hAnsi="Calibri" w:cstheme="minorHAnsi"/>
          <w:sz w:val="24"/>
          <w:szCs w:val="24"/>
        </w:rPr>
        <w:t>Entre las acciones específicas enfocadas a la salud mental y la prevención de las adicciones está la implementación de brigadas de salud mental, adicciones y prevención del suicidio en cada una de las Jurisdicciones Sanitarias</w:t>
      </w:r>
      <w:r w:rsidR="00365E61">
        <w:rPr>
          <w:rFonts w:ascii="Calibri" w:hAnsi="Calibri" w:cstheme="minorHAnsi"/>
          <w:sz w:val="24"/>
          <w:szCs w:val="24"/>
        </w:rPr>
        <w:t xml:space="preserve"> </w:t>
      </w:r>
      <w:r w:rsidRPr="001629F7">
        <w:rPr>
          <w:rFonts w:ascii="Calibri" w:hAnsi="Calibri" w:cstheme="minorHAnsi"/>
          <w:sz w:val="24"/>
          <w:szCs w:val="24"/>
        </w:rPr>
        <w:t xml:space="preserve">enfocadas a la promoción de servicios de salud mental y adicciones y la detección oportuna de problemas de salud mental, adicciones y riesgo de conducta suicida. </w:t>
      </w:r>
    </w:p>
    <w:p w14:paraId="4B39EE14" w14:textId="69C9DA46" w:rsidR="005C2C95" w:rsidRPr="001629F7" w:rsidRDefault="005C2C95" w:rsidP="00033442">
      <w:pPr>
        <w:jc w:val="both"/>
        <w:rPr>
          <w:rFonts w:ascii="Calibri" w:hAnsi="Calibri" w:cstheme="minorHAnsi"/>
          <w:sz w:val="24"/>
          <w:szCs w:val="24"/>
        </w:rPr>
      </w:pPr>
      <w:r w:rsidRPr="001629F7">
        <w:rPr>
          <w:rFonts w:ascii="Calibri" w:hAnsi="Calibri" w:cstheme="minorHAnsi"/>
          <w:sz w:val="24"/>
          <w:szCs w:val="24"/>
        </w:rPr>
        <w:t>Las brigadas están integradas por pr</w:t>
      </w:r>
      <w:r w:rsidR="00365E61">
        <w:rPr>
          <w:rFonts w:ascii="Calibri" w:hAnsi="Calibri" w:cstheme="minorHAnsi"/>
          <w:sz w:val="24"/>
          <w:szCs w:val="24"/>
        </w:rPr>
        <w:t>omotores de salud y psicólogos.</w:t>
      </w:r>
      <w:r w:rsidR="00253BDA">
        <w:rPr>
          <w:rFonts w:ascii="Calibri" w:hAnsi="Calibri" w:cstheme="minorHAnsi"/>
          <w:sz w:val="24"/>
          <w:szCs w:val="24"/>
        </w:rPr>
        <w:t xml:space="preserve"> </w:t>
      </w:r>
      <w:r w:rsidRPr="001629F7">
        <w:rPr>
          <w:rFonts w:ascii="Calibri" w:hAnsi="Calibri" w:cstheme="minorHAnsi"/>
          <w:sz w:val="24"/>
          <w:szCs w:val="24"/>
        </w:rPr>
        <w:t>Se cuenta con medicamentos p</w:t>
      </w:r>
      <w:r w:rsidR="00365E61">
        <w:rPr>
          <w:rFonts w:ascii="Calibri" w:hAnsi="Calibri" w:cstheme="minorHAnsi"/>
          <w:sz w:val="24"/>
          <w:szCs w:val="24"/>
        </w:rPr>
        <w:t>sicotrópicos en los centros de s</w:t>
      </w:r>
      <w:r w:rsidRPr="001629F7">
        <w:rPr>
          <w:rFonts w:ascii="Calibri" w:hAnsi="Calibri" w:cstheme="minorHAnsi"/>
          <w:sz w:val="24"/>
          <w:szCs w:val="24"/>
        </w:rPr>
        <w:t xml:space="preserve">alud en los que se brinda atención médica psiquiátrica. </w:t>
      </w:r>
    </w:p>
    <w:p w14:paraId="086F5793" w14:textId="76345EA5" w:rsidR="005C2C95" w:rsidRPr="001629F7" w:rsidRDefault="005C2C95" w:rsidP="00033442">
      <w:pPr>
        <w:jc w:val="both"/>
        <w:rPr>
          <w:rFonts w:ascii="Calibri" w:hAnsi="Calibri"/>
          <w:sz w:val="24"/>
          <w:szCs w:val="24"/>
        </w:rPr>
      </w:pPr>
      <w:r w:rsidRPr="001629F7">
        <w:rPr>
          <w:rFonts w:ascii="Calibri" w:hAnsi="Calibri" w:cstheme="minorHAnsi"/>
          <w:sz w:val="24"/>
          <w:szCs w:val="24"/>
        </w:rPr>
        <w:t xml:space="preserve">Asimismo, </w:t>
      </w:r>
      <w:r w:rsidRPr="001629F7">
        <w:rPr>
          <w:rFonts w:ascii="Calibri" w:hAnsi="Calibri" w:cstheme="minorHAnsi"/>
          <w:color w:val="000000" w:themeColor="text1"/>
          <w:sz w:val="24"/>
          <w:szCs w:val="24"/>
        </w:rPr>
        <w:t xml:space="preserve">capacitación al personal de salud en el manejo de la </w:t>
      </w:r>
      <w:r w:rsidRPr="001629F7">
        <w:rPr>
          <w:rFonts w:ascii="Calibri" w:hAnsi="Calibri" w:cs="Helvetica"/>
          <w:color w:val="000000" w:themeColor="text1"/>
          <w:sz w:val="24"/>
          <w:szCs w:val="24"/>
        </w:rPr>
        <w:t>Guía de intervención para los trastornos mentales, neurológicos y por uso de sustancias en el nivel de atención de la salud no especializado.</w:t>
      </w:r>
    </w:p>
    <w:p w14:paraId="327F61DE" w14:textId="55362B90" w:rsidR="005C2C95" w:rsidRPr="001629F7" w:rsidRDefault="005C2C95" w:rsidP="00033442">
      <w:pPr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1629F7">
        <w:rPr>
          <w:rFonts w:ascii="Calibri" w:hAnsi="Calibri" w:cstheme="minorHAnsi"/>
          <w:color w:val="000000" w:themeColor="text1"/>
          <w:sz w:val="24"/>
          <w:szCs w:val="24"/>
        </w:rPr>
        <w:t>De hecho, durante el año 2021 se han capacitado a 2</w:t>
      </w:r>
      <w:r w:rsidR="00986BC8">
        <w:rPr>
          <w:rFonts w:ascii="Calibri" w:hAnsi="Calibri" w:cstheme="minorHAnsi"/>
          <w:color w:val="000000" w:themeColor="text1"/>
          <w:sz w:val="24"/>
          <w:szCs w:val="24"/>
        </w:rPr>
        <w:t xml:space="preserve"> mil </w:t>
      </w:r>
      <w:r w:rsidRPr="001629F7">
        <w:rPr>
          <w:rFonts w:ascii="Calibri" w:hAnsi="Calibri" w:cstheme="minorHAnsi"/>
          <w:color w:val="000000" w:themeColor="text1"/>
          <w:sz w:val="24"/>
          <w:szCs w:val="24"/>
        </w:rPr>
        <w:t>994 trabajadores de los Centros de Salud de l</w:t>
      </w:r>
      <w:r w:rsidR="00986BC8">
        <w:rPr>
          <w:rFonts w:ascii="Calibri" w:hAnsi="Calibri" w:cstheme="minorHAnsi"/>
          <w:color w:val="000000" w:themeColor="text1"/>
          <w:sz w:val="24"/>
          <w:szCs w:val="24"/>
        </w:rPr>
        <w:t xml:space="preserve">as 16 Jurisdicciones Sanitarias, </w:t>
      </w:r>
      <w:r w:rsidR="00986BC8" w:rsidRPr="001629F7">
        <w:rPr>
          <w:rFonts w:ascii="Calibri" w:hAnsi="Calibri" w:cstheme="minorHAnsi"/>
          <w:color w:val="000000" w:themeColor="text1"/>
          <w:sz w:val="24"/>
          <w:szCs w:val="24"/>
        </w:rPr>
        <w:t>de 3</w:t>
      </w:r>
      <w:r w:rsidR="00986BC8">
        <w:rPr>
          <w:rFonts w:ascii="Calibri" w:hAnsi="Calibri" w:cstheme="minorHAnsi"/>
          <w:color w:val="000000" w:themeColor="text1"/>
          <w:sz w:val="24"/>
          <w:szCs w:val="24"/>
        </w:rPr>
        <w:t xml:space="preserve"> mil </w:t>
      </w:r>
      <w:r w:rsidR="00986BC8" w:rsidRPr="001629F7">
        <w:rPr>
          <w:rFonts w:ascii="Calibri" w:hAnsi="Calibri" w:cstheme="minorHAnsi"/>
          <w:color w:val="000000" w:themeColor="text1"/>
          <w:sz w:val="24"/>
          <w:szCs w:val="24"/>
        </w:rPr>
        <w:t xml:space="preserve">221 programados, </w:t>
      </w:r>
      <w:r w:rsidR="00986BC8">
        <w:rPr>
          <w:rFonts w:ascii="Calibri" w:hAnsi="Calibri" w:cstheme="minorHAnsi"/>
          <w:color w:val="000000" w:themeColor="text1"/>
          <w:sz w:val="24"/>
          <w:szCs w:val="24"/>
        </w:rPr>
        <w:t xml:space="preserve">lo que representa el </w:t>
      </w:r>
      <w:r w:rsidR="00986BC8" w:rsidRPr="001629F7">
        <w:rPr>
          <w:rFonts w:ascii="Calibri" w:hAnsi="Calibri" w:cstheme="minorHAnsi"/>
          <w:color w:val="000000" w:themeColor="text1"/>
          <w:sz w:val="24"/>
          <w:szCs w:val="24"/>
        </w:rPr>
        <w:t>92.95 por ciento)</w:t>
      </w:r>
      <w:r w:rsidR="00986BC8">
        <w:rPr>
          <w:rFonts w:ascii="Calibri" w:hAnsi="Calibri" w:cstheme="minorHAnsi"/>
          <w:color w:val="000000" w:themeColor="text1"/>
          <w:sz w:val="24"/>
          <w:szCs w:val="24"/>
        </w:rPr>
        <w:t>.</w:t>
      </w:r>
    </w:p>
    <w:p w14:paraId="37A29E17" w14:textId="7D045B51" w:rsidR="00C12A09" w:rsidRPr="00DD7ED6" w:rsidRDefault="006D70A5" w:rsidP="00D232E9">
      <w:pPr>
        <w:spacing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es-MX"/>
        </w:rPr>
      </w:pPr>
      <w:r w:rsidRPr="00232756">
        <w:rPr>
          <w:rFonts w:ascii="Calibri" w:eastAsia="Times New Roman" w:hAnsi="Calibri" w:cs="Calibri"/>
          <w:b/>
          <w:color w:val="000000" w:themeColor="text1"/>
          <w:lang w:eastAsia="es-MX"/>
        </w:rPr>
        <w:t>-o0o-</w:t>
      </w:r>
    </w:p>
    <w:sectPr w:rsidR="00C12A09" w:rsidRPr="00DD7ED6" w:rsidSect="00C12A09">
      <w:headerReference w:type="default" r:id="rId7"/>
      <w:footerReference w:type="default" r:id="rId8"/>
      <w:pgSz w:w="12240" w:h="15840"/>
      <w:pgMar w:top="1417" w:right="1183" w:bottom="1417" w:left="1701" w:header="56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46CAA" w14:textId="77777777" w:rsidR="00532380" w:rsidRDefault="00532380">
      <w:pPr>
        <w:spacing w:after="0" w:line="240" w:lineRule="auto"/>
      </w:pPr>
      <w:r>
        <w:separator/>
      </w:r>
    </w:p>
  </w:endnote>
  <w:endnote w:type="continuationSeparator" w:id="0">
    <w:p w14:paraId="7CEEE520" w14:textId="77777777" w:rsidR="00532380" w:rsidRDefault="0053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Semibol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B80E" w14:textId="77777777" w:rsidR="00FA0DD1" w:rsidRPr="0058329A" w:rsidRDefault="00FA0DD1">
    <w:pPr>
      <w:pStyle w:val="Piedepgina"/>
      <w:rPr>
        <w:rFonts w:ascii="Source Sans Pro" w:hAnsi="Source Sans Pro"/>
        <w:color w:val="808080" w:themeColor="background1" w:themeShade="80"/>
        <w:sz w:val="21"/>
        <w:szCs w:val="21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687EC7E" wp14:editId="47885C57">
          <wp:simplePos x="0" y="0"/>
          <wp:positionH relativeFrom="column">
            <wp:posOffset>4625340</wp:posOffset>
          </wp:positionH>
          <wp:positionV relativeFrom="paragraph">
            <wp:posOffset>-209550</wp:posOffset>
          </wp:positionV>
          <wp:extent cx="1419860" cy="226060"/>
          <wp:effectExtent l="0" t="0" r="8890" b="2540"/>
          <wp:wrapNone/>
          <wp:docPr id="9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mo="http://schemas.microsoft.com/office/mac/office/2008/main" xmlns:mv="urn:schemas-microsoft-com:mac:vml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w16se="http://schemas.microsoft.com/office/word/2015/wordml/sym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B42C8" wp14:editId="434DCFF1">
              <wp:simplePos x="0" y="0"/>
              <wp:positionH relativeFrom="margin">
                <wp:posOffset>-3811</wp:posOffset>
              </wp:positionH>
              <wp:positionV relativeFrom="paragraph">
                <wp:posOffset>-390525</wp:posOffset>
              </wp:positionV>
              <wp:extent cx="2981325" cy="447675"/>
              <wp:effectExtent l="0" t="0" r="9525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75005" w14:textId="77777777" w:rsidR="00FA0DD1" w:rsidRPr="001E2144" w:rsidRDefault="00FA0DD1" w:rsidP="00C12A09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 w:rsidRPr="001E2144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Av. Insurgentes norte 423, piso 13, colonia Nonoalco Tlatelolco</w:t>
                          </w:r>
                        </w:p>
                        <w:p w14:paraId="60D58B88" w14:textId="77777777" w:rsidR="00FA0DD1" w:rsidRDefault="00FA0DD1" w:rsidP="00C12A09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 w:rsidRPr="001E2144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alcaldía Cuauhtémoc, C.P. 06900</w:t>
                          </w:r>
                        </w:p>
                        <w:p w14:paraId="7B56D7B0" w14:textId="77777777" w:rsidR="00FA0DD1" w:rsidRPr="00E66BCE" w:rsidRDefault="00FA0DD1" w:rsidP="00C12A09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T. 5551321250 ext. 1312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B42C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.3pt;margin-top:-30.75pt;width:23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" fillcolor="white [3201]" stroked="f" strokeweight=".5pt">
              <v:textbox>
                <w:txbxContent>
                  <w:p w14:paraId="0E475005" w14:textId="77777777" w:rsidR="00FA0DD1" w:rsidRPr="001E2144" w:rsidRDefault="00FA0DD1" w:rsidP="00C12A09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 w:rsidRPr="001E2144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Av. Insurgentes norte 423, piso 13, colonia Nonoalco Tlatelolco</w:t>
                    </w:r>
                  </w:p>
                  <w:p w14:paraId="60D58B88" w14:textId="77777777" w:rsidR="00FA0DD1" w:rsidRDefault="00FA0DD1" w:rsidP="00C12A09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 w:rsidRPr="001E2144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alcaldía Cuauhtémoc, C.P. 06900</w:t>
                    </w:r>
                  </w:p>
                  <w:p w14:paraId="7B56D7B0" w14:textId="77777777" w:rsidR="00FA0DD1" w:rsidRPr="00E66BCE" w:rsidRDefault="00FA0DD1" w:rsidP="00C12A09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T. 5551321250 ext. 1312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80D89" w14:textId="77777777" w:rsidR="00532380" w:rsidRDefault="00532380">
      <w:pPr>
        <w:spacing w:after="0" w:line="240" w:lineRule="auto"/>
      </w:pPr>
      <w:r>
        <w:separator/>
      </w:r>
    </w:p>
  </w:footnote>
  <w:footnote w:type="continuationSeparator" w:id="0">
    <w:p w14:paraId="01896E52" w14:textId="77777777" w:rsidR="00532380" w:rsidRDefault="0053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CAC8" w14:textId="5381F5A6" w:rsidR="00FA0DD1" w:rsidRDefault="00FA0DD1" w:rsidP="00C12A09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  <w:r w:rsidRPr="008A47A1"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B54C5F8" wp14:editId="3BB9CA6E">
              <wp:simplePos x="0" y="0"/>
              <wp:positionH relativeFrom="column">
                <wp:posOffset>3352800</wp:posOffset>
              </wp:positionH>
              <wp:positionV relativeFrom="paragraph">
                <wp:posOffset>266065</wp:posOffset>
              </wp:positionV>
              <wp:extent cx="3800475" cy="523875"/>
              <wp:effectExtent l="0" t="0" r="9525" b="9525"/>
              <wp:wrapNone/>
              <wp:docPr id="34" name="Rectá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4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2F2FDD" w14:textId="77777777" w:rsidR="00FA0DD1" w:rsidRPr="007E3820" w:rsidRDefault="00FA0DD1" w:rsidP="00C12A09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sz w:val="16"/>
                            </w:rPr>
                          </w:pPr>
                          <w:r w:rsidRPr="007E3820">
                            <w:rPr>
                              <w:rFonts w:ascii="Source Sans Pro Semibold" w:eastAsia="Source Sans Pro Semibold" w:hAnsi="Source Sans Pro Semibold" w:cs="Source Sans Pro Semibold"/>
                              <w:color w:val="808080"/>
                              <w:sz w:val="16"/>
                            </w:rPr>
                            <w:t>SECRETARÍA DE SALUD DE LA CIUDAD DE MÉXICO</w:t>
                          </w:r>
                        </w:p>
                        <w:p w14:paraId="7C4BE68E" w14:textId="77777777" w:rsidR="00FA0DD1" w:rsidRPr="007E3820" w:rsidRDefault="00FA0DD1" w:rsidP="00C12A09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sz w:val="16"/>
                            </w:rPr>
                          </w:pPr>
                          <w:r w:rsidRPr="007E3820"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  <w:t>DIRECCIÓN DE ENLACE Y COMUNICACIÓN</w:t>
                          </w:r>
                        </w:p>
                        <w:p w14:paraId="06D8DB69" w14:textId="77777777" w:rsidR="00FA0DD1" w:rsidRPr="008830AC" w:rsidRDefault="00FA0DD1" w:rsidP="00C12A09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54C5F8" id="Rectángulo 34" o:spid="_x0000_s1026" style="position:absolute;margin-left:264pt;margin-top:20.95pt;width:299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" fillcolor="white [3201]" stroked="f">
              <v:textbox inset="2.53958mm,1.2694mm,2.53958mm,1.2694mm">
                <w:txbxContent>
                  <w:p w14:paraId="1B2F2FDD" w14:textId="77777777" w:rsidR="00FA0DD1" w:rsidRPr="007E3820" w:rsidRDefault="00FA0DD1" w:rsidP="00C12A09">
                    <w:pPr>
                      <w:spacing w:after="0" w:line="240" w:lineRule="auto"/>
                      <w:jc w:val="both"/>
                      <w:textDirection w:val="btLr"/>
                      <w:rPr>
                        <w:sz w:val="16"/>
                      </w:rPr>
                    </w:pPr>
                    <w:r w:rsidRPr="007E3820">
                      <w:rPr>
                        <w:rFonts w:ascii="Source Sans Pro Semibold" w:eastAsia="Source Sans Pro Semibold" w:hAnsi="Source Sans Pro Semibold" w:cs="Source Sans Pro Semibold"/>
                        <w:color w:val="808080"/>
                        <w:sz w:val="16"/>
                      </w:rPr>
                      <w:t>SECRETARÍA DE SALUD DE LA CIUDAD DE MÉXICO</w:t>
                    </w:r>
                  </w:p>
                  <w:p w14:paraId="7C4BE68E" w14:textId="77777777" w:rsidR="00FA0DD1" w:rsidRPr="007E3820" w:rsidRDefault="00FA0DD1" w:rsidP="00C12A09">
                    <w:pPr>
                      <w:spacing w:after="0" w:line="240" w:lineRule="auto"/>
                      <w:jc w:val="both"/>
                      <w:textDirection w:val="btLr"/>
                      <w:rPr>
                        <w:sz w:val="16"/>
                      </w:rPr>
                    </w:pPr>
                    <w:r w:rsidRPr="007E3820"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  <w:t>DIRECCIÓN DE ENLACE Y COMUNICACIÓN</w:t>
                    </w:r>
                  </w:p>
                  <w:p w14:paraId="06D8DB69" w14:textId="77777777" w:rsidR="00FA0DD1" w:rsidRPr="008830AC" w:rsidRDefault="00FA0DD1" w:rsidP="00C12A09">
                    <w:pPr>
                      <w:spacing w:after="0" w:line="240" w:lineRule="auto"/>
                      <w:jc w:val="both"/>
                      <w:textDirection w:val="btLr"/>
                      <w:rPr>
                        <w:b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808080" w:themeColor="background1" w:themeShade="80"/>
        <w:sz w:val="21"/>
        <w:szCs w:val="21"/>
        <w:lang w:eastAsia="es-MX"/>
      </w:rPr>
      <w:drawing>
        <wp:inline distT="0" distB="0" distL="0" distR="0" wp14:anchorId="1FB35C27" wp14:editId="3EE306C8">
          <wp:extent cx="2085975" cy="8802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desa_2_reducid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760" cy="882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sz w:val="21"/>
        <w:szCs w:val="21"/>
        <w:lang w:eastAsia="es-MX"/>
      </w:rPr>
      <w:tab/>
    </w:r>
  </w:p>
  <w:p w14:paraId="7346912D" w14:textId="77777777" w:rsidR="00FA0DD1" w:rsidRDefault="00FA0DD1" w:rsidP="00C12A09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</w:p>
  <w:p w14:paraId="753C53CB" w14:textId="77777777" w:rsidR="00FA0DD1" w:rsidRPr="0058329A" w:rsidRDefault="00FA0DD1" w:rsidP="00C12A09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  <w:r>
      <w:rPr>
        <w:noProof/>
        <w:color w:val="808080" w:themeColor="background1" w:themeShade="80"/>
        <w:sz w:val="21"/>
        <w:szCs w:val="21"/>
        <w:lang w:eastAsia="es-MX"/>
      </w:rPr>
      <w:tab/>
      <w:t xml:space="preserve">                          </w:t>
    </w:r>
    <w:r w:rsidRPr="0058329A">
      <w:rPr>
        <w:color w:val="808080" w:themeColor="background1" w:themeShade="80"/>
        <w:sz w:val="21"/>
        <w:szCs w:val="21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81F"/>
    <w:multiLevelType w:val="hybridMultilevel"/>
    <w:tmpl w:val="0562EE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C82B76"/>
    <w:multiLevelType w:val="hybridMultilevel"/>
    <w:tmpl w:val="0C6C0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610BA"/>
    <w:multiLevelType w:val="hybridMultilevel"/>
    <w:tmpl w:val="AD2CF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5"/>
    <w:rsid w:val="00033442"/>
    <w:rsid w:val="001062A0"/>
    <w:rsid w:val="001629F7"/>
    <w:rsid w:val="00232756"/>
    <w:rsid w:val="00253BDA"/>
    <w:rsid w:val="002F628E"/>
    <w:rsid w:val="00365E61"/>
    <w:rsid w:val="003A529B"/>
    <w:rsid w:val="003F3956"/>
    <w:rsid w:val="003F3D24"/>
    <w:rsid w:val="004371A8"/>
    <w:rsid w:val="00532380"/>
    <w:rsid w:val="005C2C95"/>
    <w:rsid w:val="00620162"/>
    <w:rsid w:val="0068276F"/>
    <w:rsid w:val="006D70A5"/>
    <w:rsid w:val="00783452"/>
    <w:rsid w:val="007A3930"/>
    <w:rsid w:val="00831E81"/>
    <w:rsid w:val="00835711"/>
    <w:rsid w:val="008634E1"/>
    <w:rsid w:val="008D7DBC"/>
    <w:rsid w:val="008F6769"/>
    <w:rsid w:val="00944195"/>
    <w:rsid w:val="00986BC8"/>
    <w:rsid w:val="009B446A"/>
    <w:rsid w:val="00A00B7B"/>
    <w:rsid w:val="00A340C5"/>
    <w:rsid w:val="00A55944"/>
    <w:rsid w:val="00A7535B"/>
    <w:rsid w:val="00A8223D"/>
    <w:rsid w:val="00B84D46"/>
    <w:rsid w:val="00C12A09"/>
    <w:rsid w:val="00CE0382"/>
    <w:rsid w:val="00D232E9"/>
    <w:rsid w:val="00D24AAD"/>
    <w:rsid w:val="00D471F7"/>
    <w:rsid w:val="00DD6E5C"/>
    <w:rsid w:val="00DD7ED6"/>
    <w:rsid w:val="00E21932"/>
    <w:rsid w:val="00EB56A8"/>
    <w:rsid w:val="00F06E34"/>
    <w:rsid w:val="00F27020"/>
    <w:rsid w:val="00F6747F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2BF0A"/>
  <w15:docId w15:val="{291CB3B5-A636-46AA-895C-8BD064F0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A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0A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D7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0A5"/>
    <w:rPr>
      <w:lang w:val="es-MX"/>
    </w:rPr>
  </w:style>
  <w:style w:type="paragraph" w:styleId="Sinespaciado">
    <w:name w:val="No Spacing"/>
    <w:uiPriority w:val="1"/>
    <w:qFormat/>
    <w:rsid w:val="006D70A5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62016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44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2A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A09"/>
    <w:rPr>
      <w:rFonts w:ascii="Lucida Grande" w:hAnsi="Lucida Grande" w:cs="Lucida Grande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ESTRATEGIACOM01</cp:lastModifiedBy>
  <cp:revision>6</cp:revision>
  <dcterms:created xsi:type="dcterms:W3CDTF">2022-01-12T16:57:00Z</dcterms:created>
  <dcterms:modified xsi:type="dcterms:W3CDTF">2022-01-12T17:39:00Z</dcterms:modified>
</cp:coreProperties>
</file>